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Ind w:w="-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8"/>
        <w:gridCol w:w="968"/>
        <w:gridCol w:w="968"/>
        <w:gridCol w:w="962"/>
        <w:gridCol w:w="962"/>
        <w:gridCol w:w="961"/>
        <w:gridCol w:w="961"/>
        <w:gridCol w:w="961"/>
        <w:gridCol w:w="961"/>
        <w:gridCol w:w="968"/>
      </w:tblGrid>
      <w:tr w:rsidR="00565320" w:rsidRPr="006269A9" w14:paraId="7CADF8BD" w14:textId="77777777" w:rsidTr="002112BC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F2F1" w14:textId="77777777" w:rsidR="00565320" w:rsidRPr="006269A9" w:rsidRDefault="00565320" w:rsidP="002112BC">
            <w:pPr>
              <w:pStyle w:val="Brezrazmikov"/>
            </w:pPr>
            <w:bookmarkStart w:id="0" w:name="_Hlk51830413"/>
            <w:r w:rsidRPr="006269A9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22AD57BD" wp14:editId="6F0BB49D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30480</wp:posOffset>
                  </wp:positionV>
                  <wp:extent cx="2179320" cy="1203960"/>
                  <wp:effectExtent l="0" t="0" r="0" b="0"/>
                  <wp:wrapNone/>
                  <wp:docPr id="2" name="Slika 2" descr="neimenovana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eimenovan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65320" w:rsidRPr="006269A9" w14:paraId="5DB06BD9" w14:textId="77777777" w:rsidTr="002112BC">
              <w:trPr>
                <w:trHeight w:val="31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3CE5C" w14:textId="77777777" w:rsidR="00565320" w:rsidRPr="006269A9" w:rsidRDefault="00565320" w:rsidP="002112BC">
                  <w:pPr>
                    <w:pStyle w:val="Brezrazmikov"/>
                  </w:pPr>
                </w:p>
              </w:tc>
            </w:tr>
          </w:tbl>
          <w:p w14:paraId="54264829" w14:textId="77777777" w:rsidR="00565320" w:rsidRPr="006269A9" w:rsidRDefault="00565320" w:rsidP="002112BC">
            <w:pPr>
              <w:pStyle w:val="Brezrazmikov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2F0D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DD9D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AC5A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5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3C9" w14:textId="77777777" w:rsidR="00565320" w:rsidRDefault="00565320" w:rsidP="002112BC">
            <w:pPr>
              <w:pStyle w:val="Brezrazmikov"/>
              <w:jc w:val="both"/>
              <w:rPr>
                <w:b/>
                <w:bCs/>
              </w:rPr>
            </w:pPr>
            <w:r w:rsidRPr="006269A9">
              <w:rPr>
                <w:b/>
                <w:bCs/>
              </w:rPr>
              <w:t>ZDRUŽENJE BORCEV ZA VREDNOTE NOB ŠKOFJA LOKA</w:t>
            </w:r>
          </w:p>
          <w:p w14:paraId="08E1F425" w14:textId="77777777" w:rsidR="00565320" w:rsidRPr="006269A9" w:rsidRDefault="00565320" w:rsidP="002112BC">
            <w:pPr>
              <w:pStyle w:val="Brezrazmikov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ORGANIZACIJSKI KOMITE ZA PRIREDITVE PO STEZAH PARTIZANSKE JELOVICE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E3AB" w14:textId="77777777" w:rsidR="00565320" w:rsidRPr="006269A9" w:rsidRDefault="00565320" w:rsidP="002112BC">
            <w:pPr>
              <w:pStyle w:val="Brezrazmikov"/>
              <w:rPr>
                <w:b/>
                <w:bCs/>
              </w:rPr>
            </w:pPr>
          </w:p>
        </w:tc>
      </w:tr>
      <w:tr w:rsidR="00565320" w:rsidRPr="006269A9" w14:paraId="041911BF" w14:textId="77777777" w:rsidTr="002112BC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7594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7F9C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8380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9AD8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6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2609" w14:textId="77777777" w:rsidR="00565320" w:rsidRPr="006269A9" w:rsidRDefault="00565320" w:rsidP="002112BC">
            <w:pPr>
              <w:pStyle w:val="Brezrazmikov"/>
              <w:rPr>
                <w:b/>
                <w:bCs/>
              </w:rPr>
            </w:pPr>
            <w:r w:rsidRPr="006269A9">
              <w:rPr>
                <w:b/>
                <w:bCs/>
              </w:rPr>
              <w:t>KIDRIČEVA CESTA 1, 4220 ŠKOFJA LOKA,</w:t>
            </w:r>
          </w:p>
        </w:tc>
      </w:tr>
      <w:tr w:rsidR="00565320" w:rsidRPr="006269A9" w14:paraId="758B9EFF" w14:textId="77777777" w:rsidTr="002112BC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8422" w14:textId="77777777" w:rsidR="00565320" w:rsidRPr="006269A9" w:rsidRDefault="00565320" w:rsidP="002112BC">
            <w:pPr>
              <w:pStyle w:val="Brezrazmikov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EB97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AE2A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3E7A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9128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2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8646" w14:textId="77777777" w:rsidR="00565320" w:rsidRPr="006269A9" w:rsidRDefault="00565320" w:rsidP="002112BC">
            <w:pPr>
              <w:pStyle w:val="Brezrazmikov"/>
              <w:jc w:val="both"/>
              <w:rPr>
                <w:b/>
                <w:bCs/>
              </w:rPr>
            </w:pPr>
            <w:r w:rsidRPr="006269A9">
              <w:rPr>
                <w:b/>
                <w:bCs/>
              </w:rPr>
              <w:t xml:space="preserve">tel., </w:t>
            </w:r>
            <w:proofErr w:type="spellStart"/>
            <w:r w:rsidRPr="006269A9">
              <w:rPr>
                <w:b/>
                <w:bCs/>
              </w:rPr>
              <w:t>fax</w:t>
            </w:r>
            <w:proofErr w:type="spellEnd"/>
            <w:r w:rsidRPr="006269A9">
              <w:rPr>
                <w:b/>
                <w:bCs/>
              </w:rPr>
              <w:t>.: (04) 512 00 06;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DDA3" w14:textId="77777777" w:rsidR="00565320" w:rsidRPr="006269A9" w:rsidRDefault="00565320" w:rsidP="002112BC">
            <w:pPr>
              <w:pStyle w:val="Brezrazmikov"/>
              <w:rPr>
                <w:b/>
                <w:bCs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5E28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E7E2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</w:tr>
      <w:tr w:rsidR="00565320" w:rsidRPr="006269A9" w14:paraId="7252BDA0" w14:textId="77777777" w:rsidTr="002112BC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9B0B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B8F4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5F2D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8D3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FA94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9DAA" w14:textId="77777777" w:rsidR="00565320" w:rsidRPr="006269A9" w:rsidRDefault="00565320" w:rsidP="002112BC">
            <w:pPr>
              <w:pStyle w:val="Brezrazmikov"/>
              <w:jc w:val="both"/>
              <w:rPr>
                <w:b/>
                <w:bCs/>
              </w:rPr>
            </w:pPr>
            <w:r w:rsidRPr="006269A9">
              <w:rPr>
                <w:b/>
                <w:bCs/>
              </w:rPr>
              <w:t xml:space="preserve">e-mail: zb.skofjaloka@siol.net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4871" w14:textId="77777777" w:rsidR="00565320" w:rsidRPr="006269A9" w:rsidRDefault="00565320" w:rsidP="002112BC">
            <w:pPr>
              <w:pStyle w:val="Brezrazmikov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F981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</w:tr>
      <w:tr w:rsidR="00565320" w:rsidRPr="006269A9" w14:paraId="74CFEEF3" w14:textId="77777777" w:rsidTr="002112BC">
        <w:trPr>
          <w:trHeight w:val="312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9550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75F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7458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5631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8A51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3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0A36" w14:textId="77777777" w:rsidR="00565320" w:rsidRPr="006269A9" w:rsidRDefault="00B86562" w:rsidP="002112BC">
            <w:pPr>
              <w:pStyle w:val="Brezrazmikov"/>
              <w:jc w:val="both"/>
              <w:rPr>
                <w:b/>
                <w:bCs/>
                <w:color w:val="0563C1"/>
                <w:u w:val="single"/>
              </w:rPr>
            </w:pPr>
            <w:hyperlink w:history="1">
              <w:r w:rsidR="00565320" w:rsidRPr="00DE6CD5">
                <w:rPr>
                  <w:rStyle w:val="Hiperpovezava"/>
                  <w:b/>
                  <w:bCs/>
                </w:rPr>
                <w:t xml:space="preserve">www.zbnobskofjaloka.weebly.com </w:t>
              </w:r>
            </w:hyperlink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89B7" w14:textId="77777777" w:rsidR="00565320" w:rsidRPr="006269A9" w:rsidRDefault="00565320" w:rsidP="002112BC">
            <w:pPr>
              <w:pStyle w:val="Brezrazmikov"/>
              <w:rPr>
                <w:b/>
                <w:bCs/>
                <w:color w:val="0563C1"/>
                <w:u w:val="singl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11FE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</w:tr>
      <w:tr w:rsidR="00565320" w:rsidRPr="006269A9" w14:paraId="6E00759F" w14:textId="77777777" w:rsidTr="002112BC">
        <w:trPr>
          <w:trHeight w:val="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A86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74A3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51A7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559A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B7EE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0E24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509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BFAE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854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A7D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04A8" w14:textId="77777777" w:rsidR="00565320" w:rsidRPr="006269A9" w:rsidRDefault="00565320" w:rsidP="002112BC">
            <w:pPr>
              <w:pStyle w:val="Brezrazmikov"/>
              <w:rPr>
                <w:sz w:val="20"/>
                <w:szCs w:val="20"/>
              </w:rPr>
            </w:pPr>
          </w:p>
        </w:tc>
      </w:tr>
      <w:bookmarkEnd w:id="0"/>
    </w:tbl>
    <w:p w14:paraId="47A59167" w14:textId="3C842714" w:rsidR="00E758CE" w:rsidRDefault="00E758CE"/>
    <w:p w14:paraId="5E9D4D18" w14:textId="5149FC9F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 xml:space="preserve">Škofja Loka, </w:t>
      </w:r>
      <w:r w:rsidR="00747B50">
        <w:rPr>
          <w:rFonts w:ascii="Arial" w:hAnsi="Arial" w:cs="Arial"/>
        </w:rPr>
        <w:t>1. december 2020</w:t>
      </w:r>
    </w:p>
    <w:p w14:paraId="53A3790B" w14:textId="2F8B3345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 xml:space="preserve">Številka: </w:t>
      </w:r>
      <w:r w:rsidR="00B86562">
        <w:rPr>
          <w:rFonts w:ascii="Arial" w:hAnsi="Arial" w:cs="Arial"/>
        </w:rPr>
        <w:t>176-18/2020</w:t>
      </w:r>
    </w:p>
    <w:p w14:paraId="41678758" w14:textId="77777777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BC00779" w14:textId="62DB0ECE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 xml:space="preserve">Združenjem borcev za vrednote NOB </w:t>
      </w:r>
    </w:p>
    <w:p w14:paraId="50EB71E4" w14:textId="77777777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37D15DC" w14:textId="77777777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565320">
        <w:rPr>
          <w:rFonts w:ascii="Arial" w:hAnsi="Arial" w:cs="Arial"/>
          <w:b/>
        </w:rPr>
        <w:t xml:space="preserve">Zadeva: 64. spominska prireditev Po stezah partizanske Jelovice – Dražgoše 2021 </w:t>
      </w:r>
    </w:p>
    <w:p w14:paraId="20BC978E" w14:textId="77777777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E0ED529" w14:textId="77777777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>Spoštovani,</w:t>
      </w:r>
    </w:p>
    <w:p w14:paraId="1A14770A" w14:textId="77777777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1E2778E7" w14:textId="5D34C3AB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>spominska slovesnost ob 79. obletnici legendarnega tridnevnega boja Cankarjevega bataljona z okrepljenimi nemškimi policijskimi in vojaškimi enotami bi morala potekati v nedeljo, 10. januarja 2021, ob 12. uri pred centralnim spomenikom NOB v Dražgošah.</w:t>
      </w:r>
    </w:p>
    <w:p w14:paraId="6B55E738" w14:textId="77777777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EEFEE5D" w14:textId="2A19C722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>Žal nam trenutne razmere omejujejo izvedbo množične prireditve v klasični obliki s pohodi in druženjem. Z željo, da bi tudi v teh okoliščinah primerno in varno obeležili ta pomembn</w:t>
      </w:r>
      <w:r w:rsidR="00CF1C39">
        <w:rPr>
          <w:rFonts w:ascii="Arial" w:hAnsi="Arial" w:cs="Arial"/>
        </w:rPr>
        <w:t>i</w:t>
      </w:r>
      <w:r w:rsidRPr="00565320">
        <w:rPr>
          <w:rFonts w:ascii="Arial" w:hAnsi="Arial" w:cs="Arial"/>
        </w:rPr>
        <w:t xml:space="preserve"> zgodovinski dogodek, bodo v času predvidene prireditve delegacije predsednika Republike Slovenije, Zveze združenj borcev za vrednote NOB Slovenije in KS Dražgoše-Rudno položile vence k spomeniku v Dražgošah. Predhodno pa bo v Dražgošah posne</w:t>
      </w:r>
      <w:r w:rsidR="00CF1C39">
        <w:rPr>
          <w:rFonts w:ascii="Arial" w:hAnsi="Arial" w:cs="Arial"/>
        </w:rPr>
        <w:t>t</w:t>
      </w:r>
      <w:r w:rsidRPr="00565320">
        <w:rPr>
          <w:rFonts w:ascii="Arial" w:hAnsi="Arial" w:cs="Arial"/>
        </w:rPr>
        <w:t xml:space="preserve"> slavnostni govor predsednika Zveze tov. Marijana Križmana in kulturni program z baritonistom Tonetom Habjanom in harmonikarjem Nejcem Jemcem, recitatorjema Janom Bertoncljem in Gašperjem Murnom ter Damjano Peternelj. Posnetek celotne prireditve bo objavljen na spletni strani in Facebook strani Zveze ter na </w:t>
      </w:r>
      <w:proofErr w:type="spellStart"/>
      <w:r w:rsidRPr="00565320">
        <w:rPr>
          <w:rFonts w:ascii="Arial" w:hAnsi="Arial" w:cs="Arial"/>
        </w:rPr>
        <w:t>Youtube</w:t>
      </w:r>
      <w:proofErr w:type="spellEnd"/>
      <w:r w:rsidRPr="00565320">
        <w:rPr>
          <w:rFonts w:ascii="Arial" w:hAnsi="Arial" w:cs="Arial"/>
        </w:rPr>
        <w:t xml:space="preserve"> kanalu</w:t>
      </w:r>
      <w:r w:rsidR="00CF1C39">
        <w:rPr>
          <w:rFonts w:ascii="Arial" w:hAnsi="Arial" w:cs="Arial"/>
        </w:rPr>
        <w:t>, če bo mogoče</w:t>
      </w:r>
      <w:r w:rsidR="00950D4E">
        <w:rPr>
          <w:rFonts w:ascii="Arial" w:hAnsi="Arial" w:cs="Arial"/>
        </w:rPr>
        <w:t>,</w:t>
      </w:r>
      <w:r w:rsidR="00CF1C39">
        <w:rPr>
          <w:rFonts w:ascii="Arial" w:hAnsi="Arial" w:cs="Arial"/>
        </w:rPr>
        <w:t xml:space="preserve"> že v nedeljo</w:t>
      </w:r>
      <w:r w:rsidR="00DF67EE">
        <w:rPr>
          <w:rFonts w:ascii="Arial" w:hAnsi="Arial" w:cs="Arial"/>
        </w:rPr>
        <w:t>, sicer pa v naslednjih dneh</w:t>
      </w:r>
      <w:r w:rsidR="00CF1C39">
        <w:rPr>
          <w:rFonts w:ascii="Arial" w:hAnsi="Arial" w:cs="Arial"/>
        </w:rPr>
        <w:t>.</w:t>
      </w:r>
    </w:p>
    <w:p w14:paraId="0CBD14A6" w14:textId="375E1AB1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 xml:space="preserve">Hkrati ta dan v Dražgoše ne bodo vodili tradicionalni množični pohodi. </w:t>
      </w:r>
      <w:r w:rsidR="00CF1C39">
        <w:rPr>
          <w:rFonts w:ascii="Arial" w:hAnsi="Arial" w:cs="Arial"/>
        </w:rPr>
        <w:t xml:space="preserve">Predstavniki </w:t>
      </w:r>
      <w:r w:rsidRPr="00565320">
        <w:rPr>
          <w:rFonts w:ascii="Arial" w:hAnsi="Arial" w:cs="Arial"/>
        </w:rPr>
        <w:t xml:space="preserve"> </w:t>
      </w:r>
      <w:r w:rsidR="00A903A5">
        <w:rPr>
          <w:rFonts w:ascii="Arial" w:hAnsi="Arial" w:cs="Arial"/>
        </w:rPr>
        <w:t>organizatorjev pohodov s Pasje ravni, čez Ratitovec</w:t>
      </w:r>
      <w:r w:rsidR="00950D4E">
        <w:rPr>
          <w:rFonts w:ascii="Arial" w:hAnsi="Arial" w:cs="Arial"/>
        </w:rPr>
        <w:t>,</w:t>
      </w:r>
      <w:r w:rsidR="00A903A5">
        <w:rPr>
          <w:rFonts w:ascii="Arial" w:hAnsi="Arial" w:cs="Arial"/>
        </w:rPr>
        <w:t xml:space="preserve"> iz Soteske ter iz Tržiča</w:t>
      </w:r>
      <w:r w:rsidRPr="00565320">
        <w:rPr>
          <w:rFonts w:ascii="Arial" w:hAnsi="Arial" w:cs="Arial"/>
        </w:rPr>
        <w:t xml:space="preserve"> </w:t>
      </w:r>
      <w:r w:rsidR="00950D4E">
        <w:rPr>
          <w:rFonts w:ascii="Arial" w:hAnsi="Arial" w:cs="Arial"/>
        </w:rPr>
        <w:t xml:space="preserve">se </w:t>
      </w:r>
      <w:r w:rsidRPr="00565320">
        <w:rPr>
          <w:rFonts w:ascii="Arial" w:hAnsi="Arial" w:cs="Arial"/>
        </w:rPr>
        <w:t>bo</w:t>
      </w:r>
      <w:r w:rsidR="00CF1C39">
        <w:rPr>
          <w:rFonts w:ascii="Arial" w:hAnsi="Arial" w:cs="Arial"/>
        </w:rPr>
        <w:t>do</w:t>
      </w:r>
      <w:r w:rsidR="00950D4E">
        <w:rPr>
          <w:rFonts w:ascii="Arial" w:hAnsi="Arial" w:cs="Arial"/>
        </w:rPr>
        <w:t xml:space="preserve"> predvidoma, če bodo </w:t>
      </w:r>
      <w:r w:rsidR="00DF67EE">
        <w:rPr>
          <w:rFonts w:ascii="Arial" w:hAnsi="Arial" w:cs="Arial"/>
        </w:rPr>
        <w:t>epidemiološke razmere</w:t>
      </w:r>
      <w:r w:rsidR="00950D4E">
        <w:rPr>
          <w:rFonts w:ascii="Arial" w:hAnsi="Arial" w:cs="Arial"/>
        </w:rPr>
        <w:t xml:space="preserve"> dovoljevale, v ožjem sestavu podali po utečenih poteh v Dražgoše. </w:t>
      </w:r>
      <w:r w:rsidR="00CF1C39">
        <w:rPr>
          <w:rFonts w:ascii="Arial" w:hAnsi="Arial" w:cs="Arial"/>
        </w:rPr>
        <w:t xml:space="preserve"> </w:t>
      </w:r>
    </w:p>
    <w:p w14:paraId="406B50C5" w14:textId="30CB5D3A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2FCC8031" w14:textId="4B0CD559" w:rsidR="0036025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>Združenjem, ki ste načrtoval</w:t>
      </w:r>
      <w:r w:rsidR="00CF1C39">
        <w:rPr>
          <w:rFonts w:ascii="Arial" w:hAnsi="Arial" w:cs="Arial"/>
        </w:rPr>
        <w:t>a</w:t>
      </w:r>
      <w:r w:rsidRPr="00565320">
        <w:rPr>
          <w:rFonts w:ascii="Arial" w:hAnsi="Arial" w:cs="Arial"/>
        </w:rPr>
        <w:t xml:space="preserve"> obisk, se opravičujemo za vaš trud in sodelovanje </w:t>
      </w:r>
      <w:r w:rsidR="00CF1C39">
        <w:rPr>
          <w:rFonts w:ascii="Arial" w:hAnsi="Arial" w:cs="Arial"/>
        </w:rPr>
        <w:t>ter vas</w:t>
      </w:r>
      <w:r w:rsidRPr="00565320">
        <w:rPr>
          <w:rFonts w:ascii="Arial" w:hAnsi="Arial" w:cs="Arial"/>
        </w:rPr>
        <w:t xml:space="preserve"> pro</w:t>
      </w:r>
      <w:r w:rsidR="00CF1C39">
        <w:rPr>
          <w:rFonts w:ascii="Arial" w:hAnsi="Arial" w:cs="Arial"/>
        </w:rPr>
        <w:t>simo</w:t>
      </w:r>
      <w:r w:rsidRPr="00565320">
        <w:rPr>
          <w:rFonts w:ascii="Arial" w:hAnsi="Arial" w:cs="Arial"/>
        </w:rPr>
        <w:t xml:space="preserve">, da obvestite krajevne organizacije in članstvo o preklicu prireditve. Prosim vas, da </w:t>
      </w:r>
      <w:r w:rsidR="00360250">
        <w:rPr>
          <w:rFonts w:ascii="Arial" w:hAnsi="Arial" w:cs="Arial"/>
        </w:rPr>
        <w:t xml:space="preserve">jih povabite k ogledu slovesnosti na spletu. </w:t>
      </w:r>
    </w:p>
    <w:p w14:paraId="4686239D" w14:textId="13BF5FD7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 xml:space="preserve"> </w:t>
      </w:r>
    </w:p>
    <w:p w14:paraId="198F4B4F" w14:textId="0E81E1AE" w:rsidR="00565320" w:rsidRPr="0056532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  <w:r w:rsidRPr="00565320">
        <w:rPr>
          <w:rFonts w:ascii="Arial" w:hAnsi="Arial" w:cs="Arial"/>
        </w:rPr>
        <w:t>V upanju na boljše razmere bomo 65. spominsko kulturn</w:t>
      </w:r>
      <w:r w:rsidR="00CF1C39">
        <w:rPr>
          <w:rFonts w:ascii="Arial" w:hAnsi="Arial" w:cs="Arial"/>
        </w:rPr>
        <w:t>o</w:t>
      </w:r>
      <w:r w:rsidRPr="00565320">
        <w:rPr>
          <w:rFonts w:ascii="Arial" w:hAnsi="Arial" w:cs="Arial"/>
        </w:rPr>
        <w:t xml:space="preserve"> priredit</w:t>
      </w:r>
      <w:r w:rsidR="00CF1C39">
        <w:rPr>
          <w:rFonts w:ascii="Arial" w:hAnsi="Arial" w:cs="Arial"/>
        </w:rPr>
        <w:t>e</w:t>
      </w:r>
      <w:r w:rsidRPr="00565320">
        <w:rPr>
          <w:rFonts w:ascii="Arial" w:hAnsi="Arial" w:cs="Arial"/>
        </w:rPr>
        <w:t xml:space="preserve">v v Dražgošah leta 2022 ponovno organizirali v običajnem obsegu. </w:t>
      </w:r>
    </w:p>
    <w:p w14:paraId="04C448D3" w14:textId="231120DE" w:rsidR="00565320" w:rsidRPr="00360250" w:rsidRDefault="00565320" w:rsidP="00565320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4DBEB9B" w14:textId="795BDCD5" w:rsidR="00565320" w:rsidRPr="00360250" w:rsidRDefault="00360250" w:rsidP="00360250">
      <w:pPr>
        <w:pStyle w:val="Brezrazmikov"/>
        <w:rPr>
          <w:rFonts w:ascii="Arial" w:hAnsi="Arial" w:cs="Arial"/>
        </w:rPr>
      </w:pPr>
      <w:r w:rsidRPr="00360250">
        <w:rPr>
          <w:rFonts w:ascii="Arial" w:hAnsi="Arial" w:cs="Arial"/>
        </w:rPr>
        <w:t>Lep pozdrav,</w:t>
      </w:r>
    </w:p>
    <w:p w14:paraId="5433D974" w14:textId="642A1D91" w:rsidR="00360250" w:rsidRPr="00360250" w:rsidRDefault="00360250" w:rsidP="00360250">
      <w:pPr>
        <w:pStyle w:val="Brezrazmikov"/>
        <w:rPr>
          <w:rFonts w:ascii="Arial" w:hAnsi="Arial" w:cs="Arial"/>
        </w:rPr>
      </w:pPr>
    </w:p>
    <w:p w14:paraId="3EBD2921" w14:textId="1173193A" w:rsidR="00360250" w:rsidRPr="00360250" w:rsidRDefault="00360250" w:rsidP="00360250">
      <w:pPr>
        <w:pStyle w:val="Brezrazmikov"/>
        <w:jc w:val="right"/>
        <w:rPr>
          <w:rFonts w:ascii="Arial" w:hAnsi="Arial" w:cs="Arial"/>
        </w:rPr>
      </w:pPr>
      <w:r w:rsidRPr="00360250">
        <w:rPr>
          <w:rFonts w:ascii="Arial" w:hAnsi="Arial" w:cs="Arial"/>
        </w:rPr>
        <w:t>generalmajor Ladislav Lipič, predsednik</w:t>
      </w:r>
    </w:p>
    <w:sectPr w:rsidR="00360250" w:rsidRPr="0036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20"/>
    <w:rsid w:val="00360250"/>
    <w:rsid w:val="00565320"/>
    <w:rsid w:val="00747B50"/>
    <w:rsid w:val="00950D4E"/>
    <w:rsid w:val="00A903A5"/>
    <w:rsid w:val="00B86562"/>
    <w:rsid w:val="00CF1C39"/>
    <w:rsid w:val="00DF67EE"/>
    <w:rsid w:val="00E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4A98"/>
  <w15:chartTrackingRefBased/>
  <w15:docId w15:val="{99A560A3-BFB5-4327-932A-FB52E871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5320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565320"/>
    <w:rPr>
      <w:color w:val="0000FF"/>
      <w:u w:val="single"/>
    </w:rPr>
  </w:style>
  <w:style w:type="paragraph" w:styleId="Brezrazmikov">
    <w:name w:val="No Spacing"/>
    <w:uiPriority w:val="1"/>
    <w:qFormat/>
    <w:rsid w:val="0056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2020-12-01T10:16:00Z</dcterms:created>
  <dcterms:modified xsi:type="dcterms:W3CDTF">2020-12-01T10:16:00Z</dcterms:modified>
</cp:coreProperties>
</file>